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2B7B">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32BA8278">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《制浆造纸设备安装与维修》课程教学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46888274">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067E31B7">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4FA7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248CB6AD">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02769C7A">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B916010</w:t>
            </w:r>
          </w:p>
        </w:tc>
        <w:tc>
          <w:tcPr>
            <w:tcW w:w="1701" w:type="dxa"/>
            <w:vAlign w:val="center"/>
          </w:tcPr>
          <w:p w14:paraId="76162C2B">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585E272B">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轻工学部</w:t>
            </w:r>
          </w:p>
        </w:tc>
      </w:tr>
      <w:tr w14:paraId="66B4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59D71DC0">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33B636EB">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（中文）制浆造纸设备安装与维修</w:t>
            </w:r>
          </w:p>
        </w:tc>
      </w:tr>
      <w:tr w14:paraId="565A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5F4565F0">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0846F71C">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（英文）Installation and Maintenance of Papermaking Equipment</w:t>
            </w:r>
          </w:p>
        </w:tc>
      </w:tr>
      <w:tr w14:paraId="2E6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DE84881">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146AAFDD">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FF0000"/>
                <w:sz w:val="24"/>
                <w:szCs w:val="24"/>
              </w:rPr>
              <w:t>选修</w:t>
            </w:r>
          </w:p>
        </w:tc>
        <w:tc>
          <w:tcPr>
            <w:tcW w:w="1701" w:type="dxa"/>
            <w:vAlign w:val="center"/>
          </w:tcPr>
          <w:p w14:paraId="230E5A09">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考核类型</w:t>
            </w:r>
          </w:p>
        </w:tc>
        <w:tc>
          <w:tcPr>
            <w:tcW w:w="2835" w:type="dxa"/>
            <w:vAlign w:val="center"/>
          </w:tcPr>
          <w:p w14:paraId="0AE0717E">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考查</w:t>
            </w:r>
          </w:p>
        </w:tc>
      </w:tr>
      <w:tr w14:paraId="206A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A8251D8">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2F8C4871">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1.5</w:t>
            </w:r>
          </w:p>
        </w:tc>
        <w:tc>
          <w:tcPr>
            <w:tcW w:w="1701" w:type="dxa"/>
            <w:vAlign w:val="center"/>
          </w:tcPr>
          <w:p w14:paraId="64F0120A">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课程学时</w:t>
            </w:r>
          </w:p>
        </w:tc>
        <w:tc>
          <w:tcPr>
            <w:tcW w:w="2835" w:type="dxa"/>
            <w:vAlign w:val="center"/>
          </w:tcPr>
          <w:p w14:paraId="11C29B16">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24</w:t>
            </w:r>
          </w:p>
        </w:tc>
      </w:tr>
      <w:tr w14:paraId="05E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D107DA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165E1B64">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sz w:val="24"/>
                <w:szCs w:val="24"/>
                <w:lang w:eastAsia="zh-CN"/>
              </w:rPr>
              <w:t>专业任选</w:t>
            </w:r>
          </w:p>
        </w:tc>
      </w:tr>
      <w:tr w14:paraId="06DE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41C12E5">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776D9C6D">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机械设计基础、制浆造纸机械与设备</w:t>
            </w:r>
            <w:r>
              <w:rPr>
                <w:rFonts w:hint="eastAsia" w:ascii="黑体" w:hAnsi="黑体" w:eastAsia="黑体" w:cs="黑体"/>
                <w:sz w:val="24"/>
                <w:szCs w:val="24"/>
                <w:lang w:eastAsia="zh-CN"/>
              </w:rPr>
              <w:t>、</w:t>
            </w:r>
            <w:r>
              <w:rPr>
                <w:rFonts w:hint="eastAsia" w:ascii="黑体" w:hAnsi="黑体" w:eastAsia="黑体" w:cs="黑体"/>
                <w:sz w:val="24"/>
                <w:szCs w:val="24"/>
              </w:rPr>
              <w:t>制浆原理与工程、造纸原理与工程</w:t>
            </w:r>
          </w:p>
        </w:tc>
      </w:tr>
      <w:tr w14:paraId="1E2C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CB32C5F">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3C607B8F">
            <w:pPr>
              <w:adjustRightInd w:val="0"/>
              <w:snapToGrid w:val="0"/>
              <w:jc w:val="center"/>
              <w:rPr>
                <w:rFonts w:hint="eastAsia" w:ascii="黑体" w:hAnsi="黑体" w:eastAsia="黑体" w:cs="黑体"/>
                <w:b/>
                <w:sz w:val="24"/>
                <w:szCs w:val="24"/>
              </w:rPr>
            </w:pPr>
            <w:r>
              <w:rPr>
                <w:rFonts w:hint="eastAsia" w:ascii="黑体" w:hAnsi="黑体" w:eastAsia="黑体" w:cs="黑体"/>
                <w:b/>
                <w:sz w:val="24"/>
                <w:szCs w:val="24"/>
              </w:rPr>
              <w:t>轻化工程（制浆造纸工程方向）</w:t>
            </w:r>
          </w:p>
        </w:tc>
      </w:tr>
    </w:tbl>
    <w:p w14:paraId="45B00543">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2169AB3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67058AA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制浆造纸设备安装与维修》课程是本专业（类）的一门专业选修课程，以多媒体授课为主要教学形式，并结合制浆造纸行业的发展趋势进行课堂讨论，旨在通过理论教学，使学生掌握制浆造纸设备安装与维护修理相关基础知识、主要专业设备的安装原理，具备调试、保养、润滑、维修的基本方法基本能力，了解管道的安装施工和维修技术等概念。在注重传授基本理论和基本知识的同时，加强学生创新意识和实践能力的培养，以拓宽本科生的专业知识面。</w:t>
      </w:r>
    </w:p>
    <w:p w14:paraId="691CF97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以机械制图、工程力学、机械设计基础为技术基础课，以制浆原理与工程、造纸原理与工程、制浆造纸机械与设备为先修课，与制浆造纸工厂设计概论为同时并进的专业课。学习本课程之前，学生应具备一定的机械方面的基础知识，全面掌握制浆造纸的基本原理和工艺流程，熟知制浆造纸专业设备的结构、性能和工作原理，为后续课程奠定必要的理论基础。</w:t>
      </w:r>
    </w:p>
    <w:p w14:paraId="55764E77">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5CBC53B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通过本课程，学生将掌握设备安装与维修的基本理论、基本知识和基本技能，具备一定的制浆造纸专业设备的安装、维修和管理的能力。</w:t>
      </w:r>
    </w:p>
    <w:p w14:paraId="355642B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课程目标1：掌握制浆造纸机械设备安装、调试、维护保养、修理的基本方法、基础知识和基本原理，用于解决制浆造纸工业实际生产中的设备维修和装配等复杂工程问题。</w:t>
      </w:r>
    </w:p>
    <w:p w14:paraId="6526638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课程目标2：具备自主学习设备安装与维修相关先进技术和先进理论的能力，具备将掌握的理论知识、基本技能和先进理念，用于设计解决实际生产中装备更新改造等复杂工程问题的能力。</w:t>
      </w:r>
    </w:p>
    <w:p w14:paraId="3A628FAF">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6ABB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7BF3DF2B">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7545CED6">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353421FC">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04F4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77B281D">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3ACBA28D">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08BEE302">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50</w:t>
            </w:r>
          </w:p>
        </w:tc>
      </w:tr>
      <w:tr w14:paraId="0BA5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1E148990">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0873AB15">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15A0CF0E">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50</w:t>
            </w:r>
          </w:p>
        </w:tc>
      </w:tr>
    </w:tbl>
    <w:p w14:paraId="378C9822">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四、教学方式与方法</w:t>
      </w:r>
    </w:p>
    <w:p w14:paraId="6EF677B4">
      <w:pPr>
        <w:spacing w:line="360" w:lineRule="auto"/>
        <w:ind w:firstLine="480" w:firstLineChars="200"/>
        <w:rPr>
          <w:rFonts w:hint="eastAsia"/>
          <w:sz w:val="24"/>
        </w:rPr>
      </w:pPr>
      <w:bookmarkStart w:id="0" w:name="_Hlk5205911"/>
      <w:r>
        <w:rPr>
          <w:rFonts w:hint="eastAsia"/>
          <w:sz w:val="24"/>
        </w:rPr>
        <w:t>课程紧密结合企业制浆造纸设备维护的实际，根据岗位能力的需要设计教学内容，科学、合理设计每个教学环节，由于制浆造纸机械与设备非常多，我们选择性地重点讲解现代制浆造纸企业所用的先进制浆造纸设备</w:t>
      </w:r>
      <w:r>
        <w:rPr>
          <w:rFonts w:hint="eastAsia"/>
          <w:sz w:val="24"/>
          <w:lang w:eastAsia="zh-CN"/>
        </w:rPr>
        <w:t>。</w:t>
      </w:r>
      <w:r>
        <w:rPr>
          <w:rFonts w:hint="eastAsia"/>
          <w:sz w:val="24"/>
        </w:rPr>
        <w:t>灵活采用理实一体化教学法、情景模拟教学法、课堂讨论总结法等多种教学方法，开拓了课堂教改新思路，使学生的知识、能力和素质全面协调发展。</w:t>
      </w:r>
    </w:p>
    <w:p w14:paraId="496626C3">
      <w:pPr>
        <w:spacing w:line="360" w:lineRule="auto"/>
        <w:ind w:firstLine="480" w:firstLineChars="200"/>
        <w:rPr>
          <w:rFonts w:hint="eastAsia" w:eastAsia="宋体"/>
          <w:sz w:val="24"/>
          <w:lang w:eastAsia="zh-CN"/>
        </w:rPr>
      </w:pPr>
      <w:r>
        <w:rPr>
          <w:rFonts w:hint="eastAsia"/>
          <w:sz w:val="24"/>
        </w:rPr>
        <w:t>通过课堂点名、询问等和学生互动起来</w:t>
      </w:r>
      <w:r>
        <w:rPr>
          <w:rFonts w:hint="eastAsia"/>
          <w:sz w:val="24"/>
        </w:rPr>
        <w:tab/>
      </w:r>
      <w:r>
        <w:rPr>
          <w:rFonts w:hint="eastAsia"/>
          <w:sz w:val="24"/>
        </w:rPr>
        <w:t>提</w:t>
      </w:r>
      <w:r>
        <w:rPr>
          <w:rFonts w:hint="eastAsia"/>
          <w:sz w:val="24"/>
          <w:lang w:eastAsia="zh-CN"/>
        </w:rPr>
        <w:t>。</w:t>
      </w:r>
      <w:r>
        <w:rPr>
          <w:rFonts w:hint="eastAsia"/>
          <w:sz w:val="24"/>
        </w:rPr>
        <w:t>高学生课堂专注度</w:t>
      </w:r>
      <w:r>
        <w:rPr>
          <w:rFonts w:hint="eastAsia"/>
          <w:sz w:val="24"/>
          <w:lang w:eastAsia="zh-CN"/>
        </w:rPr>
        <w:t>，思考提问激发学生学习兴趣，为新知识传授做好铺垫。观看相关视频突出本节课内容的重要性。</w:t>
      </w:r>
    </w:p>
    <w:p w14:paraId="777647C4">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p>
    <w:p w14:paraId="6A283249">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（一）教学重点</w:t>
      </w:r>
    </w:p>
    <w:p w14:paraId="07DCF6C1">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第一章 测量工具与起重搬运工具</w:t>
      </w:r>
    </w:p>
    <w:p w14:paraId="7AC0580D">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第一节 测量工具</w:t>
      </w:r>
    </w:p>
    <w:p w14:paraId="72421416">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制浆造纸设备安装与维修过程中常用的测量工具的用途、结构性能、工作原理、使用方法和有关注意事项。</w:t>
      </w:r>
    </w:p>
    <w:p w14:paraId="6126157E">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第二节 起重搬运工具</w:t>
      </w:r>
    </w:p>
    <w:p w14:paraId="739354CD">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制浆造纸设备安装与维修过程中常用的起重工具和起重机械的工作原理、性能特点、选择和使用方法、受力分析及注意事项。</w:t>
      </w:r>
    </w:p>
    <w:p w14:paraId="5AFDBF56">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第二章 设备安装基础知识</w:t>
      </w:r>
    </w:p>
    <w:p w14:paraId="6FD0608C">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第一节设备基础及基础检查</w:t>
      </w:r>
    </w:p>
    <w:p w14:paraId="738B4C00">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设备基础的分类、作用及要求。设备基础的建造过程、质量要求及验收项目和方法。</w:t>
      </w:r>
    </w:p>
    <w:p w14:paraId="3450AF6C">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第二节地脚螺拴</w:t>
      </w:r>
    </w:p>
    <w:p w14:paraId="15D6A628">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地脚螺栓的作用、分类及与基础的连接方式。</w:t>
      </w:r>
    </w:p>
    <w:p w14:paraId="50919B80">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第三节 垫板</w:t>
      </w:r>
    </w:p>
    <w:p w14:paraId="68124AF2">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垫板的种类、作用及布置原则。</w:t>
      </w:r>
    </w:p>
    <w:p w14:paraId="749586C6">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第三章 制浆造纸主要专业设备的安装</w:t>
      </w:r>
    </w:p>
    <w:p w14:paraId="2D70D49C">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第一节 设备安装的基本方法</w:t>
      </w:r>
    </w:p>
    <w:p w14:paraId="576122AB">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基础放线与设备就位、找正找平、二次灌浆与复查、试压与试运转等设备安装的基本方法。</w:t>
      </w:r>
    </w:p>
    <w:p w14:paraId="7428D3DB">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第二节 典型专业设备的安装</w:t>
      </w:r>
    </w:p>
    <w:p w14:paraId="05CFE0CA">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塔类设备的安装调试方法；离心泵的安装调试方法；长网造纸机的安装调试方法。</w:t>
      </w:r>
    </w:p>
    <w:p w14:paraId="1D55E649">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第四章 管道的安装</w:t>
      </w:r>
    </w:p>
    <w:p w14:paraId="43A6C2BF">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第一节 工艺管道的分类及管路的标准化</w:t>
      </w:r>
    </w:p>
    <w:p w14:paraId="6448EFA3">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工艺管道的分类；对管路进行标准化的目的和内容。</w:t>
      </w:r>
    </w:p>
    <w:p w14:paraId="77B9AA6D">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第二节 管路的构造</w:t>
      </w:r>
    </w:p>
    <w:p w14:paraId="0BC3D06A">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管子、管件和阀门的种类、用途及选择原则。</w:t>
      </w:r>
    </w:p>
    <w:p w14:paraId="4D2B5A54">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第三节 管路的安装</w:t>
      </w:r>
    </w:p>
    <w:p w14:paraId="6D6A3E27">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管路施工的程序；管路的连接形式及各自的施工要点；管路管架的安设及管路补偿器的安装。</w:t>
      </w:r>
    </w:p>
    <w:p w14:paraId="775E4E1E">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bookmarkEnd w:id="0"/>
    <w:p w14:paraId="26B8B372">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制浆造纸设备安装与维修过程中常用的测量工具的用途、结构性能、工作原理、使用方法和有关注意事项。了解常用的起重工具和起重机械的工作原理、特点、选择和使用方法、受力分析及注意事项。</w:t>
      </w:r>
    </w:p>
    <w:p w14:paraId="3BD04772">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地脚螺栓的作用、分类及与基础的连接方式。掌握垫板的种类、作用和布置原则。</w:t>
      </w:r>
    </w:p>
    <w:p w14:paraId="50C23CF4">
      <w:pPr>
        <w:tabs>
          <w:tab w:val="left" w:pos="672"/>
        </w:tabs>
        <w:spacing w:line="400" w:lineRule="exact"/>
        <w:ind w:firstLine="480" w:firstLineChars="20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长网造纸机的安装、调试技术和路补偿器的安装技术。</w:t>
      </w:r>
    </w:p>
    <w:p w14:paraId="22C69C4E">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2305"/>
        <w:gridCol w:w="2358"/>
        <w:gridCol w:w="709"/>
        <w:gridCol w:w="975"/>
        <w:gridCol w:w="1581"/>
      </w:tblGrid>
      <w:tr w14:paraId="728A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2D38E89D">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305" w:type="dxa"/>
            <w:tcMar>
              <w:top w:w="57" w:type="dxa"/>
              <w:bottom w:w="57" w:type="dxa"/>
            </w:tcMar>
            <w:vAlign w:val="center"/>
          </w:tcPr>
          <w:p w14:paraId="023232D6">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2358" w:type="dxa"/>
            <w:tcMar>
              <w:top w:w="57" w:type="dxa"/>
              <w:bottom w:w="57" w:type="dxa"/>
            </w:tcMar>
            <w:vAlign w:val="center"/>
          </w:tcPr>
          <w:p w14:paraId="1D4DCBB8">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709" w:type="dxa"/>
            <w:tcMar>
              <w:top w:w="57" w:type="dxa"/>
              <w:bottom w:w="57" w:type="dxa"/>
            </w:tcMar>
            <w:vAlign w:val="center"/>
          </w:tcPr>
          <w:p w14:paraId="6FF829B2">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975" w:type="dxa"/>
            <w:tcMar>
              <w:top w:w="57" w:type="dxa"/>
              <w:bottom w:w="57" w:type="dxa"/>
            </w:tcMar>
            <w:vAlign w:val="center"/>
          </w:tcPr>
          <w:p w14:paraId="11AC57E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34AD98C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581" w:type="dxa"/>
            <w:tcMar>
              <w:top w:w="57" w:type="dxa"/>
              <w:bottom w:w="57" w:type="dxa"/>
            </w:tcMar>
            <w:vAlign w:val="center"/>
          </w:tcPr>
          <w:p w14:paraId="0A844088">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6245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0B3378A">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305" w:type="dxa"/>
            <w:tcMar>
              <w:top w:w="57" w:type="dxa"/>
              <w:bottom w:w="57" w:type="dxa"/>
            </w:tcMar>
            <w:vAlign w:val="center"/>
          </w:tcPr>
          <w:p w14:paraId="54805EC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第1章  测量工具与起重搬运工具</w:t>
            </w:r>
          </w:p>
        </w:tc>
        <w:tc>
          <w:tcPr>
            <w:tcW w:w="2358" w:type="dxa"/>
            <w:tcMar>
              <w:top w:w="57" w:type="dxa"/>
              <w:bottom w:w="57" w:type="dxa"/>
            </w:tcMar>
            <w:vAlign w:val="center"/>
          </w:tcPr>
          <w:p w14:paraId="68EA4BB6">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1.能够分辨样板、水平仪、经纬仪；</w:t>
            </w:r>
          </w:p>
          <w:p w14:paraId="06E35D38">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2.掌握结构、工作原理、使用方法及注意事项；</w:t>
            </w:r>
          </w:p>
          <w:p w14:paraId="1D6B2AE6">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3.正确描述滑轮和液压千斤顶的工作特性。</w:t>
            </w:r>
          </w:p>
        </w:tc>
        <w:tc>
          <w:tcPr>
            <w:tcW w:w="709" w:type="dxa"/>
            <w:tcMar>
              <w:top w:w="57" w:type="dxa"/>
              <w:bottom w:w="57" w:type="dxa"/>
            </w:tcMar>
            <w:vAlign w:val="center"/>
          </w:tcPr>
          <w:p w14:paraId="45C40FBF">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75" w:type="dxa"/>
            <w:tcMar>
              <w:top w:w="57" w:type="dxa"/>
              <w:bottom w:w="57" w:type="dxa"/>
            </w:tcMar>
            <w:vAlign w:val="center"/>
          </w:tcPr>
          <w:p w14:paraId="2D07E44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731B93D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2678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6B3313D">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305" w:type="dxa"/>
            <w:tcMar>
              <w:top w:w="57" w:type="dxa"/>
              <w:bottom w:w="57" w:type="dxa"/>
            </w:tcMar>
            <w:vAlign w:val="center"/>
          </w:tcPr>
          <w:p w14:paraId="3775D6A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第2章  设备安装基础知识</w:t>
            </w:r>
          </w:p>
        </w:tc>
        <w:tc>
          <w:tcPr>
            <w:tcW w:w="2358" w:type="dxa"/>
            <w:tcMar>
              <w:top w:w="57" w:type="dxa"/>
              <w:bottom w:w="57" w:type="dxa"/>
            </w:tcMar>
            <w:vAlign w:val="center"/>
          </w:tcPr>
          <w:p w14:paraId="101BDD77">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1.掌握机械设备基础的作用、基本建造过程和验收项目；</w:t>
            </w:r>
          </w:p>
          <w:p w14:paraId="748D7E6C">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2.掌握地脚螺栓与基础的连接方式；掌握垫板的作用和布置原则；</w:t>
            </w:r>
          </w:p>
          <w:p w14:paraId="30C50E8D">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3.能够结合制浆造纸装备现状，对制浆造纸生产线的典型设备的基础特点及设备的固定形式进行分析和评价。</w:t>
            </w:r>
          </w:p>
        </w:tc>
        <w:tc>
          <w:tcPr>
            <w:tcW w:w="709" w:type="dxa"/>
            <w:tcMar>
              <w:top w:w="57" w:type="dxa"/>
              <w:bottom w:w="57" w:type="dxa"/>
            </w:tcMar>
            <w:vAlign w:val="center"/>
          </w:tcPr>
          <w:p w14:paraId="78AD6894">
            <w:pPr>
              <w:spacing w:line="360" w:lineRule="auto"/>
              <w:ind w:firstLine="210" w:firstLine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75" w:type="dxa"/>
            <w:tcMar>
              <w:top w:w="57" w:type="dxa"/>
              <w:bottom w:w="57" w:type="dxa"/>
            </w:tcMar>
            <w:vAlign w:val="center"/>
          </w:tcPr>
          <w:p w14:paraId="37CF4A4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12F1E155">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2187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049625E">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305" w:type="dxa"/>
            <w:tcMar>
              <w:top w:w="57" w:type="dxa"/>
              <w:bottom w:w="57" w:type="dxa"/>
            </w:tcMar>
            <w:vAlign w:val="center"/>
          </w:tcPr>
          <w:p w14:paraId="5F7141F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第3章  主要专业设备的安装</w:t>
            </w:r>
          </w:p>
        </w:tc>
        <w:tc>
          <w:tcPr>
            <w:tcW w:w="2358" w:type="dxa"/>
            <w:tcMar>
              <w:top w:w="57" w:type="dxa"/>
              <w:bottom w:w="57" w:type="dxa"/>
            </w:tcMar>
            <w:vAlign w:val="center"/>
          </w:tcPr>
          <w:p w14:paraId="3D410D90">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1.掌握设备安装的基本方法，掌握离心泵和塔类设备的安装、调试方法；</w:t>
            </w:r>
          </w:p>
          <w:p w14:paraId="2165329A">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2.掌握长网造纸机的安装、调试技术；</w:t>
            </w:r>
          </w:p>
          <w:p w14:paraId="03BF880A">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3.能够对根据机械设备的结构和工作特点评价总结其安装方法和质量要求；</w:t>
            </w:r>
          </w:p>
          <w:p w14:paraId="17009194">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4.能够根据造纸机的安装要求设计其安装调试过程。</w:t>
            </w:r>
          </w:p>
        </w:tc>
        <w:tc>
          <w:tcPr>
            <w:tcW w:w="709" w:type="dxa"/>
            <w:tcMar>
              <w:top w:w="57" w:type="dxa"/>
              <w:bottom w:w="57" w:type="dxa"/>
            </w:tcMar>
            <w:vAlign w:val="center"/>
          </w:tcPr>
          <w:p w14:paraId="096127D5">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975" w:type="dxa"/>
            <w:tcMar>
              <w:top w:w="57" w:type="dxa"/>
              <w:bottom w:w="57" w:type="dxa"/>
            </w:tcMar>
            <w:vAlign w:val="center"/>
          </w:tcPr>
          <w:p w14:paraId="5134E5E3">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81" w:type="dxa"/>
            <w:tcMar>
              <w:top w:w="57" w:type="dxa"/>
              <w:bottom w:w="57" w:type="dxa"/>
            </w:tcMar>
            <w:vAlign w:val="center"/>
          </w:tcPr>
          <w:p w14:paraId="2E1E1550">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199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C4C26B2">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305" w:type="dxa"/>
            <w:tcMar>
              <w:top w:w="57" w:type="dxa"/>
              <w:bottom w:w="57" w:type="dxa"/>
            </w:tcMar>
            <w:vAlign w:val="center"/>
          </w:tcPr>
          <w:p w14:paraId="70A2717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第4章  道的安装</w:t>
            </w:r>
          </w:p>
        </w:tc>
        <w:tc>
          <w:tcPr>
            <w:tcW w:w="2358" w:type="dxa"/>
            <w:tcMar>
              <w:top w:w="57" w:type="dxa"/>
              <w:bottom w:w="57" w:type="dxa"/>
            </w:tcMar>
            <w:vAlign w:val="center"/>
          </w:tcPr>
          <w:p w14:paraId="76DA4DBD">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1.掌握管道的构造、安装施工方法和要求；</w:t>
            </w:r>
          </w:p>
          <w:p w14:paraId="3115A1EC">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2.掌握管道的日常维护和修理方法；</w:t>
            </w:r>
          </w:p>
          <w:p w14:paraId="2EBD4FB6">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3.能够结合管道补偿器的构造，提出相应安装措施。能够根据制浆造纸工艺管道的特点，分析常发生的故障并给出相应解决措施。</w:t>
            </w:r>
          </w:p>
        </w:tc>
        <w:tc>
          <w:tcPr>
            <w:tcW w:w="709" w:type="dxa"/>
            <w:tcMar>
              <w:top w:w="57" w:type="dxa"/>
              <w:bottom w:w="57" w:type="dxa"/>
            </w:tcMar>
            <w:vAlign w:val="center"/>
          </w:tcPr>
          <w:p w14:paraId="233E42F0">
            <w:pPr>
              <w:spacing w:line="360" w:lineRule="auto"/>
              <w:ind w:firstLine="210" w:firstLine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75" w:type="dxa"/>
            <w:tcMar>
              <w:top w:w="57" w:type="dxa"/>
              <w:bottom w:w="57" w:type="dxa"/>
            </w:tcMar>
            <w:vAlign w:val="center"/>
          </w:tcPr>
          <w:p w14:paraId="49A776A7">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演示</w:t>
            </w:r>
          </w:p>
        </w:tc>
        <w:tc>
          <w:tcPr>
            <w:tcW w:w="1581" w:type="dxa"/>
            <w:tcMar>
              <w:top w:w="57" w:type="dxa"/>
              <w:bottom w:w="57" w:type="dxa"/>
            </w:tcMar>
            <w:vAlign w:val="center"/>
          </w:tcPr>
          <w:p w14:paraId="4C372E66">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r>
      <w:tr w14:paraId="7864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433DC24D">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709" w:type="dxa"/>
            <w:tcMar>
              <w:top w:w="57" w:type="dxa"/>
              <w:bottom w:w="57" w:type="dxa"/>
            </w:tcMar>
            <w:vAlign w:val="center"/>
          </w:tcPr>
          <w:p w14:paraId="7262ADFE">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24</w:t>
            </w:r>
          </w:p>
        </w:tc>
        <w:tc>
          <w:tcPr>
            <w:tcW w:w="975" w:type="dxa"/>
            <w:tcMar>
              <w:top w:w="57" w:type="dxa"/>
              <w:bottom w:w="57" w:type="dxa"/>
            </w:tcMar>
            <w:vAlign w:val="center"/>
          </w:tcPr>
          <w:p w14:paraId="336A3C03">
            <w:pPr>
              <w:jc w:val="center"/>
              <w:rPr>
                <w:rFonts w:hint="eastAsia" w:ascii="黑体" w:hAnsi="黑体" w:eastAsia="黑体" w:cs="黑体"/>
                <w:snapToGrid w:val="0"/>
                <w:kern w:val="0"/>
                <w:sz w:val="24"/>
                <w:szCs w:val="24"/>
              </w:rPr>
            </w:pPr>
          </w:p>
        </w:tc>
        <w:tc>
          <w:tcPr>
            <w:tcW w:w="1581" w:type="dxa"/>
            <w:vAlign w:val="center"/>
          </w:tcPr>
          <w:p w14:paraId="6298DC8D">
            <w:pPr>
              <w:jc w:val="center"/>
              <w:rPr>
                <w:rFonts w:hint="eastAsia" w:ascii="黑体" w:hAnsi="黑体" w:eastAsia="黑体" w:cs="黑体"/>
                <w:snapToGrid w:val="0"/>
                <w:kern w:val="0"/>
                <w:sz w:val="24"/>
                <w:szCs w:val="24"/>
              </w:rPr>
            </w:pPr>
          </w:p>
        </w:tc>
      </w:tr>
    </w:tbl>
    <w:p w14:paraId="406E604C">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七、实验内容、基本要求与学时分配</w:t>
      </w:r>
    </w:p>
    <w:p w14:paraId="6DBE3320">
      <w:pPr>
        <w:spacing w:line="360" w:lineRule="auto"/>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无</w:t>
      </w:r>
    </w:p>
    <w:p w14:paraId="5678098A">
      <w:pPr>
        <w:spacing w:line="360" w:lineRule="auto"/>
        <w:ind w:firstLine="482" w:firstLineChars="200"/>
        <w:jc w:val="left"/>
        <w:rPr>
          <w:rFonts w:hint="eastAsia" w:ascii="黑体" w:hAnsi="黑体" w:eastAsia="黑体" w:cs="黑体"/>
          <w:b/>
          <w:color w:val="auto"/>
          <w:sz w:val="24"/>
        </w:rPr>
      </w:pPr>
      <w:r>
        <w:rPr>
          <w:rFonts w:hint="eastAsia" w:ascii="黑体" w:hAnsi="黑体" w:eastAsia="黑体" w:cs="黑体"/>
          <w:b/>
          <w:color w:val="auto"/>
          <w:sz w:val="24"/>
          <w:lang w:val="en-US" w:eastAsia="zh-CN"/>
        </w:rPr>
        <w:t>八、</w:t>
      </w:r>
      <w:r>
        <w:rPr>
          <w:rFonts w:hint="eastAsia" w:ascii="黑体" w:hAnsi="黑体" w:eastAsia="黑体" w:cs="黑体"/>
          <w:b/>
          <w:color w:val="auto"/>
          <w:sz w:val="24"/>
        </w:rPr>
        <w:t>实验成果呈现要求</w:t>
      </w:r>
    </w:p>
    <w:p w14:paraId="00E56F42">
      <w:pPr>
        <w:spacing w:line="360" w:lineRule="auto"/>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无</w:t>
      </w:r>
    </w:p>
    <w:p w14:paraId="2E4D94CD">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九</w:t>
      </w:r>
      <w:r>
        <w:rPr>
          <w:rFonts w:hint="eastAsia" w:ascii="黑体" w:hAnsi="黑体" w:eastAsia="黑体" w:cs="黑体"/>
          <w:b/>
          <w:sz w:val="24"/>
        </w:rPr>
        <w:t>、学业评价和课程考核</w:t>
      </w:r>
    </w:p>
    <w:p w14:paraId="6CE355A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考查</w:t>
      </w:r>
    </w:p>
    <w:p w14:paraId="03D3848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闭卷考试    </w:t>
      </w:r>
      <w:bookmarkStart w:id="1" w:name="OLE_LINK8"/>
      <w:bookmarkStart w:id="2" w:name="OLE_LINK5"/>
      <w:bookmarkStart w:id="3" w:name="OLE_LINK7"/>
      <w:bookmarkStart w:id="4" w:name="OLE_LINK6"/>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课程论文</w:t>
      </w:r>
      <w:bookmarkEnd w:id="1"/>
      <w:bookmarkEnd w:id="2"/>
      <w:bookmarkEnd w:id="3"/>
      <w:bookmarkEnd w:id="4"/>
    </w:p>
    <w:p w14:paraId="1655A138">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0902E2E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12DBB102">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课程考核与评价采取期末</w:t>
      </w:r>
      <w:r>
        <w:rPr>
          <w:rFonts w:hint="eastAsia" w:ascii="仿宋_GB2312" w:hAnsi="仿宋_GB2312" w:eastAsia="仿宋_GB2312" w:cs="仿宋_GB2312"/>
          <w:sz w:val="24"/>
          <w:szCs w:val="24"/>
          <w:lang w:val="en-US" w:eastAsia="zh-CN"/>
        </w:rPr>
        <w:t>考查</w:t>
      </w:r>
      <w:r>
        <w:rPr>
          <w:rFonts w:hint="default" w:ascii="仿宋_GB2312" w:hAnsi="仿宋_GB2312" w:eastAsia="仿宋_GB2312" w:cs="仿宋_GB2312"/>
          <w:sz w:val="24"/>
          <w:szCs w:val="24"/>
          <w:lang w:val="en-US" w:eastAsia="zh-CN"/>
        </w:rPr>
        <w:t>与平时考核相结合的方式。总评成绩由平时成绩（平时作业、平时考核）和期末</w:t>
      </w:r>
      <w:r>
        <w:rPr>
          <w:rFonts w:hint="eastAsia" w:ascii="仿宋_GB2312" w:hAnsi="仿宋_GB2312" w:eastAsia="仿宋_GB2312" w:cs="仿宋_GB2312"/>
          <w:sz w:val="24"/>
          <w:szCs w:val="24"/>
          <w:lang w:val="en-US" w:eastAsia="zh-CN"/>
        </w:rPr>
        <w:t>考查</w:t>
      </w:r>
      <w:r>
        <w:rPr>
          <w:rFonts w:hint="default" w:ascii="仿宋_GB2312" w:hAnsi="仿宋_GB2312" w:eastAsia="仿宋_GB2312" w:cs="仿宋_GB2312"/>
          <w:sz w:val="24"/>
          <w:szCs w:val="24"/>
          <w:lang w:val="en-US" w:eastAsia="zh-CN"/>
        </w:rPr>
        <w:t>成绩组成，具体如下:</w:t>
      </w:r>
    </w:p>
    <w:p w14:paraId="2BBDE046">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平时作业成绩：30分。主要考察学生完成平时作业的情况，包括完成率、正确率和完成质量。</w:t>
      </w:r>
    </w:p>
    <w:p w14:paraId="288974D4">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平时考核成绩：20分。主要考察学生课堂回答问题和小测验的情况以及参与课堂讨论等的情况。</w:t>
      </w:r>
    </w:p>
    <w:p w14:paraId="5B9734E6">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期末</w:t>
      </w:r>
      <w:r>
        <w:rPr>
          <w:rFonts w:hint="eastAsia" w:ascii="仿宋_GB2312" w:hAnsi="仿宋_GB2312" w:eastAsia="仿宋_GB2312" w:cs="仿宋_GB2312"/>
          <w:sz w:val="24"/>
          <w:szCs w:val="24"/>
          <w:lang w:val="en-US" w:eastAsia="zh-CN"/>
        </w:rPr>
        <w:t>考查</w:t>
      </w:r>
      <w:r>
        <w:rPr>
          <w:rFonts w:hint="default" w:ascii="仿宋_GB2312" w:hAnsi="仿宋_GB2312" w:eastAsia="仿宋_GB2312" w:cs="仿宋_GB2312"/>
          <w:sz w:val="24"/>
          <w:szCs w:val="24"/>
          <w:lang w:val="en-US" w:eastAsia="zh-CN"/>
        </w:rPr>
        <w:t>成绩：50分。主要考核学生对制浆造纸机械设备安装与维修的基本过程、基础理论和专业知识的掌握情况，以及学生利用所学专业知识对相关工程类问题的分析判断能力和解决问题的能力。</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1EA5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4682B11B">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考核</w:t>
            </w:r>
          </w:p>
          <w:p w14:paraId="2D293224">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依据</w:t>
            </w:r>
          </w:p>
        </w:tc>
        <w:tc>
          <w:tcPr>
            <w:tcW w:w="2693" w:type="dxa"/>
            <w:gridSpan w:val="3"/>
            <w:tcMar>
              <w:top w:w="57" w:type="dxa"/>
              <w:bottom w:w="57" w:type="dxa"/>
            </w:tcMar>
            <w:vAlign w:val="center"/>
          </w:tcPr>
          <w:p w14:paraId="06B60796">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建议分值</w:t>
            </w:r>
          </w:p>
          <w:p w14:paraId="3A3342E3">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（百分比）</w:t>
            </w:r>
          </w:p>
        </w:tc>
        <w:tc>
          <w:tcPr>
            <w:tcW w:w="3526" w:type="dxa"/>
            <w:tcMar>
              <w:top w:w="57" w:type="dxa"/>
              <w:bottom w:w="57" w:type="dxa"/>
            </w:tcMar>
            <w:vAlign w:val="center"/>
          </w:tcPr>
          <w:p w14:paraId="1172B2E0">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考核/评价细则</w:t>
            </w:r>
          </w:p>
        </w:tc>
        <w:tc>
          <w:tcPr>
            <w:tcW w:w="1582" w:type="dxa"/>
            <w:tcMar>
              <w:top w:w="57" w:type="dxa"/>
              <w:bottom w:w="57" w:type="dxa"/>
            </w:tcMar>
            <w:vAlign w:val="center"/>
          </w:tcPr>
          <w:p w14:paraId="5E4F9338">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对应课程目标</w:t>
            </w:r>
          </w:p>
        </w:tc>
      </w:tr>
      <w:tr w14:paraId="60B5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316BF929">
            <w:pPr>
              <w:snapToGrid w:val="0"/>
              <w:jc w:val="center"/>
              <w:rPr>
                <w:rFonts w:hint="default" w:ascii="Times New Roman" w:hAnsi="Times New Roman" w:eastAsia="黑体" w:cs="Times New Roman"/>
                <w:b/>
                <w:sz w:val="24"/>
                <w:szCs w:val="24"/>
                <w:lang w:val="en-US" w:eastAsia="zh-CN"/>
              </w:rPr>
            </w:pPr>
            <w:r>
              <w:rPr>
                <w:rFonts w:hint="default" w:ascii="Times New Roman" w:hAnsi="Times New Roman" w:eastAsia="黑体" w:cs="Times New Roman"/>
                <w:b/>
                <w:sz w:val="24"/>
                <w:szCs w:val="24"/>
                <w:lang w:val="en-US" w:eastAsia="zh-CN"/>
              </w:rPr>
              <w:t>平时作业</w:t>
            </w:r>
          </w:p>
        </w:tc>
        <w:tc>
          <w:tcPr>
            <w:tcW w:w="715" w:type="dxa"/>
            <w:vMerge w:val="restart"/>
            <w:tcMar>
              <w:top w:w="57" w:type="dxa"/>
              <w:bottom w:w="57" w:type="dxa"/>
            </w:tcMar>
            <w:vAlign w:val="center"/>
          </w:tcPr>
          <w:p w14:paraId="46B84A2D">
            <w:pPr>
              <w:snapToGrid w:val="0"/>
              <w:spacing w:line="360" w:lineRule="auto"/>
              <w:jc w:val="center"/>
              <w:rPr>
                <w:rFonts w:hint="default" w:ascii="Times New Roman" w:hAnsi="Times New Roman" w:eastAsia="黑体" w:cs="Times New Roman"/>
                <w:snapToGrid w:val="0"/>
                <w:sz w:val="24"/>
                <w:szCs w:val="24"/>
                <w:lang w:val="en-US" w:eastAsia="zh-CN"/>
              </w:rPr>
            </w:pPr>
            <w:r>
              <w:rPr>
                <w:rFonts w:hint="eastAsia" w:ascii="Times New Roman" w:hAnsi="Times New Roman" w:eastAsia="仿宋_GB2312" w:cs="Times New Roman"/>
                <w:sz w:val="21"/>
                <w:szCs w:val="21"/>
                <w:lang w:val="en-US" w:eastAsia="zh-CN"/>
              </w:rPr>
              <w:t>30%</w:t>
            </w:r>
          </w:p>
        </w:tc>
        <w:tc>
          <w:tcPr>
            <w:tcW w:w="1128" w:type="dxa"/>
            <w:tcMar>
              <w:top w:w="57" w:type="dxa"/>
              <w:bottom w:w="57" w:type="dxa"/>
            </w:tcMar>
            <w:vAlign w:val="center"/>
          </w:tcPr>
          <w:p w14:paraId="49B3B9DF">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作业1</w:t>
            </w:r>
          </w:p>
        </w:tc>
        <w:tc>
          <w:tcPr>
            <w:tcW w:w="850" w:type="dxa"/>
            <w:tcMar>
              <w:top w:w="57" w:type="dxa"/>
              <w:bottom w:w="57" w:type="dxa"/>
            </w:tcMar>
            <w:vAlign w:val="center"/>
          </w:tcPr>
          <w:p w14:paraId="0C7FA982">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w:t>
            </w:r>
          </w:p>
        </w:tc>
        <w:tc>
          <w:tcPr>
            <w:tcW w:w="3526" w:type="dxa"/>
            <w:tcMar>
              <w:top w:w="57" w:type="dxa"/>
              <w:bottom w:w="57" w:type="dxa"/>
            </w:tcMar>
            <w:vAlign w:val="center"/>
          </w:tcPr>
          <w:p w14:paraId="298510D4">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采用百分制评分，总评后按照</w:t>
            </w:r>
            <w:r>
              <w:rPr>
                <w:rFonts w:hint="eastAsia"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val="en-US" w:eastAsia="zh-CN"/>
              </w:rPr>
              <w:t>%进行折算。</w:t>
            </w:r>
          </w:p>
          <w:p w14:paraId="13C7A4F9">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80-100分：按时完成，书写规范、清晰，对相关工程知识表述正确，分析到位，观点正确；</w:t>
            </w:r>
          </w:p>
          <w:p w14:paraId="24FF676B">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70-79分：对相关工程知识表述基本正确，分析或观点存在少量错误；</w:t>
            </w:r>
          </w:p>
          <w:p w14:paraId="6FB5C444">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60-70分：后期补交，书写基本规范、清晰，对相关工程知识表述部分错误，分析或观点存在明显错误，但批改后能改正；</w:t>
            </w:r>
          </w:p>
          <w:p w14:paraId="5D322A21">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0-60分：未完成或不完善，书写不规范、不清晰，态度敷衍，对相关工程知识表述存在明显错误，分析或观点不正确，或者存在抄袭</w:t>
            </w:r>
            <w:r>
              <w:rPr>
                <w:rFonts w:hint="eastAsia" w:ascii="Times New Roman" w:hAnsi="Times New Roman" w:eastAsia="仿宋_GB2312" w:cs="Times New Roman"/>
                <w:sz w:val="21"/>
                <w:szCs w:val="21"/>
                <w:lang w:val="en-US" w:eastAsia="zh-CN"/>
              </w:rPr>
              <w:t>。</w:t>
            </w:r>
          </w:p>
        </w:tc>
        <w:tc>
          <w:tcPr>
            <w:tcW w:w="1582" w:type="dxa"/>
            <w:tcMar>
              <w:top w:w="57" w:type="dxa"/>
              <w:bottom w:w="57" w:type="dxa"/>
            </w:tcMar>
            <w:vAlign w:val="center"/>
          </w:tcPr>
          <w:p w14:paraId="435A2A0B">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69EF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4BBB6448">
            <w:pPr>
              <w:snapToGrid w:val="0"/>
              <w:jc w:val="center"/>
              <w:rPr>
                <w:rFonts w:hint="default" w:ascii="Times New Roman" w:hAnsi="Times New Roman" w:eastAsia="黑体" w:cs="Times New Roman"/>
                <w:b/>
                <w:snapToGrid w:val="0"/>
                <w:sz w:val="24"/>
                <w:szCs w:val="24"/>
              </w:rPr>
            </w:pPr>
          </w:p>
        </w:tc>
        <w:tc>
          <w:tcPr>
            <w:tcW w:w="715" w:type="dxa"/>
            <w:vMerge w:val="continue"/>
            <w:tcMar>
              <w:top w:w="57" w:type="dxa"/>
              <w:bottom w:w="57" w:type="dxa"/>
            </w:tcMar>
            <w:vAlign w:val="center"/>
          </w:tcPr>
          <w:p w14:paraId="54643F0E">
            <w:pPr>
              <w:snapToGrid w:val="0"/>
              <w:jc w:val="center"/>
              <w:rPr>
                <w:rFonts w:hint="default" w:ascii="Times New Roman" w:hAnsi="Times New Roman" w:eastAsia="黑体" w:cs="Times New Roman"/>
                <w:snapToGrid w:val="0"/>
                <w:sz w:val="24"/>
                <w:szCs w:val="24"/>
              </w:rPr>
            </w:pPr>
          </w:p>
        </w:tc>
        <w:tc>
          <w:tcPr>
            <w:tcW w:w="1128" w:type="dxa"/>
            <w:tcMar>
              <w:top w:w="57" w:type="dxa"/>
              <w:bottom w:w="57" w:type="dxa"/>
            </w:tcMar>
            <w:vAlign w:val="center"/>
          </w:tcPr>
          <w:p w14:paraId="2DFE671D">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作业2</w:t>
            </w:r>
          </w:p>
        </w:tc>
        <w:tc>
          <w:tcPr>
            <w:tcW w:w="850" w:type="dxa"/>
            <w:tcMar>
              <w:top w:w="57" w:type="dxa"/>
              <w:bottom w:w="57" w:type="dxa"/>
            </w:tcMar>
            <w:vAlign w:val="center"/>
          </w:tcPr>
          <w:p w14:paraId="5CF34B09">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w:t>
            </w:r>
          </w:p>
        </w:tc>
        <w:tc>
          <w:tcPr>
            <w:tcW w:w="3526" w:type="dxa"/>
            <w:tcMar>
              <w:top w:w="57" w:type="dxa"/>
              <w:bottom w:w="57" w:type="dxa"/>
            </w:tcMar>
            <w:vAlign w:val="center"/>
          </w:tcPr>
          <w:p w14:paraId="17EC47E1">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同上</w:t>
            </w:r>
          </w:p>
        </w:tc>
        <w:tc>
          <w:tcPr>
            <w:tcW w:w="1582" w:type="dxa"/>
            <w:tcMar>
              <w:top w:w="57" w:type="dxa"/>
              <w:bottom w:w="57" w:type="dxa"/>
            </w:tcMar>
            <w:vAlign w:val="center"/>
          </w:tcPr>
          <w:p w14:paraId="4BF1BF95">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0914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continue"/>
            <w:tcMar>
              <w:top w:w="57" w:type="dxa"/>
              <w:bottom w:w="57" w:type="dxa"/>
            </w:tcMar>
            <w:vAlign w:val="center"/>
          </w:tcPr>
          <w:p w14:paraId="4F6CD2E5">
            <w:pPr>
              <w:snapToGrid w:val="0"/>
              <w:jc w:val="center"/>
              <w:rPr>
                <w:rFonts w:hint="default" w:ascii="Times New Roman" w:hAnsi="Times New Roman" w:eastAsia="黑体" w:cs="Times New Roman"/>
                <w:b/>
                <w:snapToGrid w:val="0"/>
                <w:sz w:val="24"/>
                <w:szCs w:val="24"/>
              </w:rPr>
            </w:pPr>
          </w:p>
        </w:tc>
        <w:tc>
          <w:tcPr>
            <w:tcW w:w="715" w:type="dxa"/>
            <w:vMerge w:val="continue"/>
            <w:tcMar>
              <w:top w:w="57" w:type="dxa"/>
              <w:bottom w:w="57" w:type="dxa"/>
            </w:tcMar>
            <w:vAlign w:val="center"/>
          </w:tcPr>
          <w:p w14:paraId="2E87AAEE">
            <w:pPr>
              <w:snapToGrid w:val="0"/>
              <w:jc w:val="center"/>
              <w:rPr>
                <w:rFonts w:hint="default" w:ascii="Times New Roman" w:hAnsi="Times New Roman" w:eastAsia="黑体" w:cs="Times New Roman"/>
                <w:snapToGrid w:val="0"/>
                <w:sz w:val="24"/>
                <w:szCs w:val="24"/>
              </w:rPr>
            </w:pPr>
          </w:p>
        </w:tc>
        <w:tc>
          <w:tcPr>
            <w:tcW w:w="1128" w:type="dxa"/>
            <w:tcMar>
              <w:top w:w="57" w:type="dxa"/>
              <w:bottom w:w="57" w:type="dxa"/>
            </w:tcMar>
            <w:vAlign w:val="center"/>
          </w:tcPr>
          <w:p w14:paraId="693E7186">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作业3</w:t>
            </w:r>
          </w:p>
        </w:tc>
        <w:tc>
          <w:tcPr>
            <w:tcW w:w="850" w:type="dxa"/>
            <w:tcMar>
              <w:top w:w="57" w:type="dxa"/>
              <w:bottom w:w="57" w:type="dxa"/>
            </w:tcMar>
            <w:vAlign w:val="center"/>
          </w:tcPr>
          <w:p w14:paraId="3B19C44D">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w:t>
            </w:r>
          </w:p>
        </w:tc>
        <w:tc>
          <w:tcPr>
            <w:tcW w:w="3526" w:type="dxa"/>
            <w:tcMar>
              <w:top w:w="57" w:type="dxa"/>
              <w:bottom w:w="57" w:type="dxa"/>
            </w:tcMar>
            <w:vAlign w:val="center"/>
          </w:tcPr>
          <w:p w14:paraId="43571B63">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同上</w:t>
            </w:r>
          </w:p>
        </w:tc>
        <w:tc>
          <w:tcPr>
            <w:tcW w:w="1582" w:type="dxa"/>
            <w:tcMar>
              <w:top w:w="57" w:type="dxa"/>
              <w:bottom w:w="57" w:type="dxa"/>
            </w:tcMar>
            <w:vAlign w:val="center"/>
          </w:tcPr>
          <w:p w14:paraId="41A59607">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67F6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26" w:hRule="atLeast"/>
          <w:jc w:val="center"/>
        </w:trPr>
        <w:tc>
          <w:tcPr>
            <w:tcW w:w="704" w:type="dxa"/>
            <w:tcMar>
              <w:top w:w="57" w:type="dxa"/>
              <w:bottom w:w="57" w:type="dxa"/>
            </w:tcMar>
            <w:vAlign w:val="center"/>
          </w:tcPr>
          <w:p w14:paraId="29A3FAF4">
            <w:pPr>
              <w:snapToGrid w:val="0"/>
              <w:jc w:val="center"/>
              <w:rPr>
                <w:rFonts w:hint="default" w:ascii="Times New Roman" w:hAnsi="Times New Roman" w:eastAsia="黑体" w:cs="Times New Roman"/>
                <w:b/>
                <w:sz w:val="24"/>
                <w:szCs w:val="24"/>
                <w:lang w:val="en-US" w:eastAsia="zh-CN"/>
              </w:rPr>
            </w:pPr>
            <w:r>
              <w:rPr>
                <w:rFonts w:hint="default" w:ascii="Times New Roman" w:hAnsi="Times New Roman" w:eastAsia="黑体" w:cs="Times New Roman"/>
                <w:b/>
                <w:sz w:val="24"/>
                <w:szCs w:val="24"/>
                <w:lang w:val="en-US" w:eastAsia="zh-CN"/>
              </w:rPr>
              <w:t>平时考核</w:t>
            </w:r>
          </w:p>
        </w:tc>
        <w:tc>
          <w:tcPr>
            <w:tcW w:w="2693" w:type="dxa"/>
            <w:gridSpan w:val="3"/>
            <w:tcMar>
              <w:top w:w="57" w:type="dxa"/>
              <w:bottom w:w="57" w:type="dxa"/>
            </w:tcMar>
            <w:vAlign w:val="center"/>
          </w:tcPr>
          <w:p w14:paraId="3AE79910">
            <w:pPr>
              <w:snapToGrid w:val="0"/>
              <w:spacing w:line="360" w:lineRule="auto"/>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w:t>
            </w:r>
          </w:p>
        </w:tc>
        <w:tc>
          <w:tcPr>
            <w:tcW w:w="3526" w:type="dxa"/>
            <w:tcMar>
              <w:top w:w="57" w:type="dxa"/>
              <w:bottom w:w="57" w:type="dxa"/>
            </w:tcMar>
            <w:vAlign w:val="center"/>
          </w:tcPr>
          <w:p w14:paraId="58E57830">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采用百分制评分，总评后按照</w:t>
            </w:r>
            <w:r>
              <w:rPr>
                <w:rFonts w:hint="eastAsia" w:eastAsia="仿宋_GB2312" w:cs="Times New Roman"/>
                <w:sz w:val="21"/>
                <w:szCs w:val="21"/>
                <w:lang w:val="en-US" w:eastAsia="zh-CN"/>
              </w:rPr>
              <w:t>2</w:t>
            </w:r>
            <w:r>
              <w:rPr>
                <w:rFonts w:hint="default" w:ascii="Times New Roman" w:hAnsi="Times New Roman" w:eastAsia="仿宋_GB2312" w:cs="Times New Roman"/>
                <w:sz w:val="21"/>
                <w:szCs w:val="21"/>
                <w:lang w:val="en-US" w:eastAsia="zh-CN"/>
              </w:rPr>
              <w:t>0%进行折算。80-100分：上课态度积极，主动参与课堂讨论、回答问题正确，分析合理；</w:t>
            </w:r>
          </w:p>
          <w:p w14:paraId="1101D651">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70-79分：上课态度较为积极，能够参与课堂讨论和回答问题</w:t>
            </w:r>
            <w:r>
              <w:rPr>
                <w:rFonts w:hint="eastAsia" w:eastAsia="仿宋_GB2312" w:cs="Times New Roman"/>
                <w:sz w:val="21"/>
                <w:szCs w:val="21"/>
                <w:lang w:val="en-US" w:eastAsia="zh-CN"/>
              </w:rPr>
              <w:t>，对相关工程知识论述基本正确</w:t>
            </w:r>
            <w:r>
              <w:rPr>
                <w:rFonts w:hint="default" w:ascii="Times New Roman" w:hAnsi="Times New Roman" w:eastAsia="仿宋_GB2312" w:cs="Times New Roman"/>
                <w:sz w:val="21"/>
                <w:szCs w:val="21"/>
                <w:lang w:val="en-US" w:eastAsia="zh-CN"/>
              </w:rPr>
              <w:t>；</w:t>
            </w:r>
          </w:p>
          <w:p w14:paraId="0C9E4E43">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60-70分：上课态度不够积极，被动参与课堂讨论</w:t>
            </w:r>
            <w:r>
              <w:rPr>
                <w:rFonts w:hint="eastAsia" w:eastAsia="仿宋_GB2312" w:cs="Times New Roman"/>
                <w:sz w:val="21"/>
                <w:szCs w:val="21"/>
                <w:lang w:val="en-US" w:eastAsia="zh-CN"/>
              </w:rPr>
              <w:t>，对相关工程知识论述有部分错误</w:t>
            </w:r>
            <w:r>
              <w:rPr>
                <w:rFonts w:hint="default" w:ascii="Times New Roman" w:hAnsi="Times New Roman" w:eastAsia="仿宋_GB2312" w:cs="Times New Roman"/>
                <w:sz w:val="21"/>
                <w:szCs w:val="21"/>
                <w:lang w:val="en-US" w:eastAsia="zh-CN"/>
              </w:rPr>
              <w:t>；</w:t>
            </w:r>
          </w:p>
          <w:p w14:paraId="7717C894">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0-60分：不参与课堂讨论</w:t>
            </w:r>
            <w:r>
              <w:rPr>
                <w:rFonts w:hint="eastAsia" w:eastAsia="仿宋_GB2312" w:cs="Times New Roman"/>
                <w:sz w:val="21"/>
                <w:szCs w:val="21"/>
                <w:lang w:val="en-US" w:eastAsia="zh-CN"/>
              </w:rPr>
              <w:t>，对相关工程知识论述存在明显错误</w:t>
            </w:r>
            <w:r>
              <w:rPr>
                <w:rFonts w:hint="eastAsia" w:ascii="Times New Roman" w:hAnsi="Times New Roman" w:eastAsia="仿宋_GB2312" w:cs="Times New Roman"/>
                <w:sz w:val="21"/>
                <w:szCs w:val="21"/>
                <w:lang w:val="en-US" w:eastAsia="zh-CN"/>
              </w:rPr>
              <w:t>。</w:t>
            </w:r>
          </w:p>
        </w:tc>
        <w:tc>
          <w:tcPr>
            <w:tcW w:w="1582" w:type="dxa"/>
            <w:tcMar>
              <w:top w:w="57" w:type="dxa"/>
              <w:bottom w:w="57" w:type="dxa"/>
            </w:tcMar>
            <w:vAlign w:val="center"/>
          </w:tcPr>
          <w:p w14:paraId="13778634">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3DB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shd w:val="clear"/>
            <w:tcMar>
              <w:top w:w="57" w:type="dxa"/>
              <w:bottom w:w="57" w:type="dxa"/>
            </w:tcMar>
            <w:vAlign w:val="center"/>
          </w:tcPr>
          <w:p w14:paraId="3DD4B068">
            <w:pPr>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期末</w:t>
            </w:r>
          </w:p>
          <w:p w14:paraId="1BE2A110">
            <w:pPr>
              <w:snapToGrid w:val="0"/>
              <w:jc w:val="center"/>
              <w:rPr>
                <w:rFonts w:hint="default" w:ascii="Times New Roman" w:hAnsi="Times New Roman" w:eastAsia="黑体" w:cs="Times New Roman"/>
                <w:b/>
                <w:kern w:val="2"/>
                <w:sz w:val="24"/>
                <w:szCs w:val="24"/>
                <w:lang w:val="en-US" w:eastAsia="zh-CN" w:bidi="ar-SA"/>
              </w:rPr>
            </w:pPr>
            <w:r>
              <w:rPr>
                <w:rFonts w:hint="default" w:ascii="Times New Roman" w:hAnsi="Times New Roman" w:eastAsia="黑体" w:cs="Times New Roman"/>
                <w:b/>
                <w:sz w:val="24"/>
                <w:szCs w:val="24"/>
              </w:rPr>
              <w:t>考核</w:t>
            </w:r>
          </w:p>
        </w:tc>
        <w:tc>
          <w:tcPr>
            <w:tcW w:w="2693" w:type="dxa"/>
            <w:gridSpan w:val="3"/>
            <w:shd w:val="clear"/>
            <w:tcMar>
              <w:top w:w="57" w:type="dxa"/>
              <w:bottom w:w="57" w:type="dxa"/>
            </w:tcMar>
            <w:vAlign w:val="center"/>
          </w:tcPr>
          <w:p w14:paraId="6A3F2829">
            <w:pPr>
              <w:snapToGrid w:val="0"/>
              <w:spacing w:line="360" w:lineRule="auto"/>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50%</w:t>
            </w:r>
          </w:p>
        </w:tc>
        <w:tc>
          <w:tcPr>
            <w:tcW w:w="3526" w:type="dxa"/>
            <w:shd w:val="clear"/>
            <w:tcMar>
              <w:top w:w="57" w:type="dxa"/>
              <w:bottom w:w="57" w:type="dxa"/>
            </w:tcMar>
            <w:vAlign w:val="center"/>
          </w:tcPr>
          <w:p w14:paraId="09567F79">
            <w:pPr>
              <w:spacing w:line="360" w:lineRule="auto"/>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卷面分采用百分制评分，总评后按照50%进行折算。按照期末</w:t>
            </w:r>
            <w:r>
              <w:rPr>
                <w:rFonts w:hint="eastAsia" w:eastAsia="仿宋_GB2312" w:cs="Times New Roman"/>
                <w:sz w:val="21"/>
                <w:szCs w:val="21"/>
                <w:lang w:val="en-US" w:eastAsia="zh-CN"/>
              </w:rPr>
              <w:t>考查</w:t>
            </w:r>
            <w:r>
              <w:rPr>
                <w:rFonts w:hint="default" w:ascii="Times New Roman" w:hAnsi="Times New Roman" w:eastAsia="仿宋_GB2312" w:cs="Times New Roman"/>
                <w:sz w:val="21"/>
                <w:szCs w:val="21"/>
                <w:lang w:val="en-US" w:eastAsia="zh-CN"/>
              </w:rPr>
              <w:t>试卷的参考答案和评分标准进行评分。</w:t>
            </w:r>
          </w:p>
        </w:tc>
        <w:tc>
          <w:tcPr>
            <w:tcW w:w="1582" w:type="dxa"/>
            <w:shd w:val="clear"/>
            <w:tcMar>
              <w:top w:w="57" w:type="dxa"/>
              <w:bottom w:w="57" w:type="dxa"/>
            </w:tcMar>
            <w:vAlign w:val="center"/>
          </w:tcPr>
          <w:p w14:paraId="45A51091">
            <w:pPr>
              <w:spacing w:line="360" w:lineRule="auto"/>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课程目标2</w:t>
            </w:r>
          </w:p>
          <w:p w14:paraId="2EC90793">
            <w:pPr>
              <w:spacing w:line="360" w:lineRule="auto"/>
              <w:jc w:val="left"/>
              <w:rPr>
                <w:rFonts w:hint="default" w:ascii="Times New Roman" w:hAnsi="Times New Roman" w:eastAsia="仿宋_GB2312" w:cs="Times New Roman"/>
                <w:kern w:val="2"/>
                <w:sz w:val="21"/>
                <w:szCs w:val="21"/>
                <w:lang w:val="en-US" w:eastAsia="zh-CN" w:bidi="ar-SA"/>
              </w:rPr>
            </w:pPr>
          </w:p>
        </w:tc>
      </w:tr>
    </w:tbl>
    <w:p w14:paraId="666D091F">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十</w:t>
      </w:r>
      <w:r>
        <w:rPr>
          <w:rFonts w:hint="eastAsia" w:ascii="黑体" w:hAnsi="黑体" w:eastAsia="黑体" w:cs="黑体"/>
          <w:b/>
          <w:sz w:val="24"/>
        </w:rPr>
        <w:t>、课程目标达成评价</w:t>
      </w:r>
    </w:p>
    <w:p w14:paraId="048275CF">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根据专业建设特色和课程建设目标制定课程目标达成度为</w:t>
      </w:r>
      <w:bookmarkStart w:id="5" w:name="_GoBack"/>
      <w:bookmarkEnd w:id="5"/>
      <w:r>
        <w:rPr>
          <w:rFonts w:hint="eastAsia" w:ascii="仿宋_GB2312" w:hAnsi="仿宋_GB2312" w:eastAsia="仿宋_GB2312" w:cs="仿宋_GB2312"/>
          <w:sz w:val="24"/>
          <w:szCs w:val="24"/>
          <w:lang w:val="en-US" w:eastAsia="zh-CN"/>
        </w:rPr>
        <w:t>60%。</w:t>
      </w:r>
    </w:p>
    <w:p w14:paraId="04357E1F">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rPr>
        <w:t>十</w:t>
      </w:r>
      <w:r>
        <w:rPr>
          <w:rFonts w:hint="eastAsia" w:ascii="黑体" w:hAnsi="黑体" w:eastAsia="黑体" w:cs="黑体"/>
          <w:b/>
          <w:sz w:val="24"/>
          <w:lang w:val="en-US" w:eastAsia="zh-CN"/>
        </w:rPr>
        <w:t>一</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4357BA45">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4F7FF454">
      <w:pPr>
        <w:spacing w:line="360" w:lineRule="auto"/>
        <w:ind w:firstLine="480" w:firstLineChars="200"/>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t>1.《制浆造纸机械安装与维修》，边贵主编，中国轻工业出版社</w:t>
      </w:r>
      <w:r>
        <w:rPr>
          <w:rFonts w:hint="default" w:ascii="Times New Roman" w:hAnsi="Times New Roman" w:eastAsia="仿宋_GB2312" w:cs="Times New Roman"/>
          <w:sz w:val="24"/>
          <w:szCs w:val="24"/>
          <w:lang w:val="en-US" w:eastAsia="zh-CN"/>
        </w:rPr>
        <w:t>，2006年；</w:t>
      </w:r>
    </w:p>
    <w:p w14:paraId="3614BDE9">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2.《制浆造纸设备安装与维修》，李向华编，中国轻工业出版社，2011年。</w:t>
      </w:r>
    </w:p>
    <w:p w14:paraId="464B30ED">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（二）参考教材</w:t>
      </w:r>
    </w:p>
    <w:p w14:paraId="278F9486">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1.《制浆造纸机械与设备》，金海兰主编，化学工业出版社，2014年</w:t>
      </w:r>
      <w:r>
        <w:rPr>
          <w:rFonts w:hint="eastAsia" w:ascii="Times New Roman" w:hAnsi="Times New Roman" w:eastAsia="仿宋_GB2312" w:cs="Times New Roman"/>
          <w:sz w:val="24"/>
          <w:szCs w:val="24"/>
          <w:lang w:val="en-US" w:eastAsia="zh-CN"/>
        </w:rPr>
        <w:t>；</w:t>
      </w:r>
    </w:p>
    <w:p w14:paraId="15E3D492">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2.《制浆造纸设备安装与维修》，李建民主编，中国轻工业出版社，1993年</w:t>
      </w:r>
      <w:r>
        <w:rPr>
          <w:rFonts w:hint="eastAsia" w:ascii="Times New Roman" w:hAnsi="Times New Roman" w:eastAsia="仿宋_GB2312" w:cs="Times New Roman"/>
          <w:sz w:val="24"/>
          <w:szCs w:val="24"/>
          <w:lang w:val="en-US" w:eastAsia="zh-CN"/>
        </w:rPr>
        <w:t>；</w:t>
      </w:r>
    </w:p>
    <w:p w14:paraId="1F1FC8CA">
      <w:pPr>
        <w:spacing w:line="360" w:lineRule="auto"/>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3.《轻工业机械设备安装与修理》，傅亚平主编，中国轻工业出版社，1997</w:t>
      </w:r>
      <w:r>
        <w:rPr>
          <w:rFonts w:hint="eastAsia" w:ascii="仿宋_GB2312" w:hAnsi="仿宋_GB2312" w:eastAsia="仿宋_GB2312" w:cs="仿宋_GB2312"/>
          <w:sz w:val="24"/>
          <w:szCs w:val="24"/>
          <w:lang w:val="en-US" w:eastAsia="zh-CN"/>
        </w:rPr>
        <w:t>年；</w:t>
      </w:r>
    </w:p>
    <w:p w14:paraId="3332CFE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4.《机械设备维修》，陈冠国编，机械工业出版社，2004年。</w:t>
      </w:r>
    </w:p>
    <w:p w14:paraId="1C9E87C9">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8AEEC3A-D4FA-4FA2-B021-D4692AD37F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A6A0AE9-A26D-4AE8-A288-C96111507C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0EC9A771-D739-450C-AE31-16E68C7F0EAC}"/>
  </w:font>
  <w:font w:name="仿宋">
    <w:panose1 w:val="02010609060101010101"/>
    <w:charset w:val="86"/>
    <w:family w:val="auto"/>
    <w:pitch w:val="default"/>
    <w:sig w:usb0="800002BF" w:usb1="38CF7CFA" w:usb2="00000016" w:usb3="00000000" w:csb0="00040001" w:csb1="00000000"/>
    <w:embedRegular r:id="rId4" w:fontKey="{F95FE3CC-B6C1-4934-9019-859F378C78B6}"/>
  </w:font>
  <w:font w:name="仿宋_GB2312">
    <w:panose1 w:val="02010609030101010101"/>
    <w:charset w:val="86"/>
    <w:family w:val="modern"/>
    <w:pitch w:val="default"/>
    <w:sig w:usb0="00000001" w:usb1="080E0000" w:usb2="00000000" w:usb3="00000000" w:csb0="00040000" w:csb1="00000000"/>
    <w:embedRegular r:id="rId5" w:fontKey="{FD32A18D-BCEC-4AF7-8F09-E37F94C219A6}"/>
  </w:font>
  <w:font w:name="方正仿宋_GB2312">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embedRegular r:id="rId6" w:fontKey="{473117C1-7242-4E4B-907A-7684D43AA7A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114B9CC">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YzAyNTRiODExYjM0ZDZkMDM2MTJmNjM1MmI5NDk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1278"/>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3670C57"/>
    <w:rsid w:val="07A019A5"/>
    <w:rsid w:val="0B7849E6"/>
    <w:rsid w:val="0D4A4828"/>
    <w:rsid w:val="0FDF079A"/>
    <w:rsid w:val="106E22E2"/>
    <w:rsid w:val="107B2FAF"/>
    <w:rsid w:val="125379AF"/>
    <w:rsid w:val="1ADB1CDF"/>
    <w:rsid w:val="1C53735D"/>
    <w:rsid w:val="1C6472BB"/>
    <w:rsid w:val="1E490AF9"/>
    <w:rsid w:val="22761828"/>
    <w:rsid w:val="246456B0"/>
    <w:rsid w:val="28BF7CA2"/>
    <w:rsid w:val="2BD31A99"/>
    <w:rsid w:val="2C5801F0"/>
    <w:rsid w:val="2CC3566A"/>
    <w:rsid w:val="2E456A21"/>
    <w:rsid w:val="2F4078CD"/>
    <w:rsid w:val="33C561AD"/>
    <w:rsid w:val="36FD3E6E"/>
    <w:rsid w:val="3CF80800"/>
    <w:rsid w:val="3FFF87A0"/>
    <w:rsid w:val="414933E0"/>
    <w:rsid w:val="45D173B3"/>
    <w:rsid w:val="47AA4941"/>
    <w:rsid w:val="493059DD"/>
    <w:rsid w:val="4DEA4CF4"/>
    <w:rsid w:val="50AF18BF"/>
    <w:rsid w:val="51A96C75"/>
    <w:rsid w:val="5450644C"/>
    <w:rsid w:val="54526FAA"/>
    <w:rsid w:val="54FD7A17"/>
    <w:rsid w:val="5ADD467E"/>
    <w:rsid w:val="5C56388C"/>
    <w:rsid w:val="5E666302"/>
    <w:rsid w:val="626F696F"/>
    <w:rsid w:val="63DD630A"/>
    <w:rsid w:val="66140709"/>
    <w:rsid w:val="672D39C9"/>
    <w:rsid w:val="6A8F5EDE"/>
    <w:rsid w:val="6FE50A20"/>
    <w:rsid w:val="748C2B39"/>
    <w:rsid w:val="761076F7"/>
    <w:rsid w:val="78727511"/>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8</Pages>
  <Words>1845</Words>
  <Characters>1996</Characters>
  <Lines>13</Lines>
  <Paragraphs>3</Paragraphs>
  <TotalTime>6</TotalTime>
  <ScaleCrop>false</ScaleCrop>
  <LinksUpToDate>false</LinksUpToDate>
  <CharactersWithSpaces>2064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秦安</cp:lastModifiedBy>
  <cp:lastPrinted>2024-04-09T01:16:00Z</cp:lastPrinted>
  <dcterms:modified xsi:type="dcterms:W3CDTF">2024-10-30T04:39:29Z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F2B7192A22C9451EB4910FBD851D9D1E_13</vt:lpwstr>
  </property>
</Properties>
</file>